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72" w:afterLines="30" w:line="6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adjustRightInd w:val="0"/>
        <w:snapToGrid w:val="0"/>
        <w:spacing w:after="72" w:afterLines="30" w:line="600" w:lineRule="exact"/>
        <w:jc w:val="center"/>
        <w:rPr>
          <w:rFonts w:ascii="宋体" w:hAnsi="宋体"/>
          <w:kern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魏武国控集团就业见习岗位需求表</w:t>
      </w:r>
    </w:p>
    <w:tbl>
      <w:tblPr>
        <w:tblStyle w:val="2"/>
        <w:tblW w:w="13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685"/>
        <w:gridCol w:w="1313"/>
        <w:gridCol w:w="1610"/>
        <w:gridCol w:w="3400"/>
        <w:gridCol w:w="268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见习岗位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主要见习内容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行政综合岗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行政管理、工商管理、新闻学、档案管理等相关专业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负责文件运转、会议管理、档案管理、新闻宣传等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2000元/月、餐补、节假日福利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财务综合岗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会计、财</w:t>
            </w:r>
            <w:r>
              <w:rPr>
                <w:rFonts w:hint="eastAsia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务管理等</w:t>
            </w: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财会类相关专业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负责</w:t>
            </w:r>
            <w:r>
              <w:rPr>
                <w:rFonts w:hint="eastAsia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账目核对，资料整理等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2000元/月、餐补、节假日福利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业务综合岗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专业不限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负责市场营销、项目运营管理等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2000元/月、餐补、节假日福利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工程管理岗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土木类、工程类、造价类、安全类相关专业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协助开展项目管理等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2000元/月、餐补、节假日福利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OTdjZWFhOTM0OTk0NzBlNDhjZDkzZjk5MGNlZGUifQ=="/>
  </w:docVars>
  <w:rsids>
    <w:rsidRoot w:val="7BBD13BB"/>
    <w:rsid w:val="7BBD13BB"/>
    <w:rsid w:val="7DB16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2024-07-10T07:37:00Z</dcterms:created>
  <dc:creator>杜标标</dc:creator>
  <cp:lastModifiedBy>杜标标</cp:lastModifiedBy>
  <dcterms:modified xsi:type="dcterms:W3CDTF">2024-07-10T07:39:22Z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A709CC6BF1204369ADBC281BC41BA1EE_11</vt:lpwstr>
  </property>
</Properties>
</file>